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before="0" w:after="0"/>
        <w:outlineLvl w:val="3"/>
        <w:rPr>
          <w:rFonts w:ascii="Times New Roman" w:hAnsi="Times New Roman" w:eastAsia="Times New Roman" w:cs="Arial"/>
          <w:bCs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</w:r>
    </w:p>
    <w:tbl>
      <w:tblPr>
        <w:tblW w:w="832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"/>
        <w:gridCol w:w="6451"/>
        <w:gridCol w:w="1865"/>
      </w:tblGrid>
      <w:tr>
        <w:trPr>
          <w:trHeight w:val="15" w:hRule="exact"/>
        </w:trPr>
        <w:tc>
          <w:tcPr>
            <w:tcW w:w="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45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865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345" w:hRule="atLeast"/>
        </w:trPr>
        <w:tc>
          <w:tcPr>
            <w:tcW w:w="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6451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AGENȚIA NAȚIONALĂ DE ADMINISTRARE FISCALĂ</w:t>
              <w:br/>
              <w:t>DIRECȚIA GENERALĂ ANTIFRAUDĂ FISCALĂ</w:t>
              <w:br/>
              <w:t>DIRECȚIA*) . . . . . . . . . .</w:t>
            </w:r>
          </w:p>
        </w:tc>
        <w:tc>
          <w:tcPr>
            <w:tcW w:w="1865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Regim special</w:t>
              <w:br/>
              <w:t>Ex. . . . . . . . . . .</w:t>
              <w:br/>
              <w:t>Pag. 1</w:t>
            </w:r>
          </w:p>
        </w:tc>
      </w:tr>
    </w:tbl>
    <w:p>
      <w:pPr>
        <w:pStyle w:val="Normal"/>
        <w:spacing w:before="0" w:after="136"/>
        <w:rPr>
          <w:rFonts w:ascii="Times New Roman" w:hAnsi="Times New Roman" w:eastAsia="Times New Roman" w:cs="Arial"/>
          <w:bCs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*)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Se va menționa direcția regională antifraudă fiscală din care face parte agentul constatator, după caz.</w:t>
      </w:r>
    </w:p>
    <w:p>
      <w:pPr>
        <w:pStyle w:val="Normal"/>
        <w:numPr>
          <w:ilvl w:val="0"/>
          <w:numId w:val="0"/>
        </w:numPr>
        <w:spacing w:before="0" w:after="0"/>
        <w:jc w:val="center"/>
        <w:outlineLvl w:val="3"/>
        <w:rPr>
          <w:rFonts w:ascii="Arial" w:hAnsi="Arial" w:eastAsia="Times New Roman" w:cs="Arial"/>
          <w:bCs/>
          <w:sz w:val="24"/>
          <w:szCs w:val="24"/>
        </w:rPr>
      </w:pPr>
      <w:r>
        <w:rPr>
          <w:rFonts w:eastAsia="Times New Roman" w:cs="Arial" w:ascii="Times New Roman" w:hAnsi="Times New Roman"/>
          <w:b/>
          <w:bCs/>
          <w:sz w:val="28"/>
          <w:szCs w:val="28"/>
          <w:lang w:val="zxx" w:eastAsia="zxx" w:bidi="zxx"/>
        </w:rPr>
        <w:t>PROCES-VERBAL</w:t>
        <w:br/>
      </w: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seria . . . . . . . . . . nr. . . . . . . . . . .</w:t>
        <w:br/>
        <w:t>de constatare și sancționare a contravențiilor, încheiat astăzi, . . . . . . . . . ., luna . . . . . . . . . ., anul . . . . . . . . . .,</w:t>
        <w:br/>
        <w:t>în localitatea . . . . . . . . . ., județul/sectorul . . . . . . . . . .</w:t>
      </w:r>
    </w:p>
    <w:p>
      <w:pPr>
        <w:pStyle w:val="Normal"/>
        <w:spacing w:before="0" w:after="136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Subsemnații, . . . . . . . . . .,</w:t>
      </w:r>
    </w:p>
    <w:p>
      <w:pPr>
        <w:pStyle w:val="Normal"/>
        <w:spacing w:before="0" w:after="136"/>
        <w:rPr/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cu funcția de inspector, în temeiul prevederilor Ordonanței de urgență a Guvernului </w:t>
      </w:r>
      <w:hyperlink r:id="rId2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74/2013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cu modificările ulterioare, ale Legii </w:t>
      </w:r>
      <w:hyperlink r:id="rId3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207/2015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cu modificările și completările ulterioare, și ale Hotărârii Guvernului </w:t>
      </w:r>
      <w:hyperlink r:id="rId4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520/2013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cu modificările și completările ulterioare, în baza ordinelor de serviciu permanent și a legitimațiilor de control cu numerele.........., eliberate de Agenția Națională de Administrare Fiscală, în urma controlului efectuat în ziua.......... luna.......... anul.........., ora.........., la.........., cu domiciliul/sediul în.........., str........... nr..........., sectorul/județul.........., cod de identificare fiscală/CNP.........., am constatat: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La data(ele) de mai jos au fost săvârșite următoarele fapte: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[1]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[2]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[3]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Faptele de mai sus constituie contravenții prevăzute la: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[1] art. . . . . . . . . . . alin. . . . . . . . . . . lit. . . . . . . . . . . pct. . . . . . . . . . . din . . . . . . . . . .;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[2] art. . . . . . . . . . . alin. . . . . . . . . . . lit. . . . . . . . . . . pct. . . . . . . . . . . din . . . . . . . . . .;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[3] art. . . . . . . . . . . alin. . . . . . . . . . . lit. . . . . . . . . . . pct. . . . . . . . . . . din .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De săvârșirea acestor fapte se face vinovat contravenientul**) . . . . . . . . . .,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**)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Pentru contravenient persoană juridică se trec denumirea și sediul social, codul de identificare fiscală (CIF), numărul de înmatriculare la oficiul registrului comerțului și datele de identificare ale persoanei care o reprezintă.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Nume și prenume . . . . . . . . . ., născut(ă) la data de . . . . . . . . . . ocupația . . . . . . . . . ., locul de muncă . . . . . . . . . ., domiciliat(ă) în . . . . . . . . . . str. . . . . . . . . . . nr. . . . . . . . . . ., bl. . . . . . . . . . ., sc. . . ., ap. . . ., județul/sectorul . . . . . . . . . ., legitimat(ă) cu . . . . . . . . . . seria . . . . . . . . . . nr. . . . . . . . . . ., eliberat(ă) de . . . . . . . . . . la data de . . . . . . . . . ., CNP .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Pentru contravenient cetățean străin sau cetățean român cu domiciliul în străinătate se completează: pașaport seria . . . . . . . . . . nr. . . . . . . . . . ., statul emitent . . . . . . . . . . data eliberării .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Pentru contravenient minor se înregistrează numele, prenumele și domiciliul părinților sau ale altor reprezentanți ori ocrotitori legali ai acestuia: . 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Față de contravențiile săvârșite se aplică următoarele sancțiuni: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A.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Contravenientul . . . . . . . . . . se amendează cu: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[1] . . . . . . . . . . lei conform art. . . . . . . . . . . alin. . . . . . . . . . . lit. . . . . . . . . . . pct. . . . . . . . . . . din . . . . . . . . . .;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[2] . . . . . . . . . . lei conform art. . . . . . . . . . . alin. . . . . . . . . . . lit. . . . . . . . . . . pct. . . . . . . . . . . din . . . . . . . . . .;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[3] . . . . . . . . . . lei conform art. . . . . . . . . . . alin. . . . . . . . . . . lit. . . . . . . . . . . pct. . . . . . . . . . . din . . . . . . . . . .;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sumă totală de . . . . . . . . . . lei.</w:t>
      </w:r>
    </w:p>
    <w:tbl>
      <w:tblPr>
        <w:tblW w:w="6825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3"/>
        <w:gridCol w:w="2108"/>
        <w:gridCol w:w="2107"/>
        <w:gridCol w:w="2596"/>
      </w:tblGrid>
      <w:tr>
        <w:trPr>
          <w:trHeight w:val="15" w:hRule="exac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08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596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975" w:hRule="atLeast"/>
        </w:trPr>
        <w:tc>
          <w:tcPr>
            <w:tcW w:w="1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210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Inspectori,</w:t>
              <w:br/>
              <w:t>. . . . . . . . . .</w:t>
              <w:br/>
              <w:t>. . . . . . . . . .</w:t>
              <w:br/>
              <w:t>. . . . . . . . . .</w:t>
            </w:r>
          </w:p>
        </w:tc>
        <w:tc>
          <w:tcPr>
            <w:tcW w:w="2107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Martori***),</w:t>
              <w:br/>
              <w:t>. . . . . . . . . .</w:t>
              <w:br/>
              <w:t>. . . . . . . . . .</w:t>
              <w:br/>
              <w:t>. . . . . . . . . .</w:t>
            </w:r>
          </w:p>
        </w:tc>
        <w:tc>
          <w:tcPr>
            <w:tcW w:w="2596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Contravenient,</w:t>
              <w:br/>
              <w:t>. . . . . . . . . .</w:t>
              <w:br/>
              <w:t>. . . . . . . . . .</w:t>
            </w:r>
          </w:p>
        </w:tc>
      </w:tr>
    </w:tbl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***)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Se vor înscrie datele personale din actul de identitate al martorului și semnătura acestuia.</w:t>
      </w:r>
    </w:p>
    <w:p>
      <w:pPr>
        <w:pStyle w:val="Normal"/>
        <w:spacing w:before="0" w:after="0"/>
        <w:rPr>
          <w:rFonts w:ascii="Times New Roman" w:hAnsi="Times New Roman" w:eastAsia="Times New Roman" w:cs="Arial"/>
          <w:bCs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</w:r>
    </w:p>
    <w:p>
      <w:pPr>
        <w:pStyle w:val="Normal"/>
        <w:spacing w:before="0" w:after="0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NOTĂ: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cazul în care, la unele rubrici, spațiul alocat este insuficient, se continuă scrierea separat în trei exemplare semnate de toate părțile, pe fiecare pagină, aceasta constituind anexă, parte integrantă a prezentului proces-verbal de constatare și sancționare a contravențiilor.</w:t>
      </w:r>
    </w:p>
    <w:p>
      <w:pPr>
        <w:pStyle w:val="Normal"/>
        <w:spacing w:before="0" w:after="136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Amenda/Amenzile se va/vor achita în contul nr. . . . . . . . . . ., deschis la . . . . . . . . . .</w:t>
      </w:r>
    </w:p>
    <w:p>
      <w:pPr>
        <w:pStyle w:val="Normal"/>
        <w:spacing w:before="0" w:after="136"/>
        <w:rPr/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conformitate cu prevederile Ordonanței Guvernului </w:t>
      </w:r>
      <w:hyperlink r:id="rId5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2/2001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aprobată cu modificări și completări prin Legea </w:t>
      </w:r>
      <w:hyperlink r:id="rId6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180/2002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cu modificările și completările ulterioare, contravenientul poate achita în condițiile legii, în termen de 15 zile, jumătate din minimul amenzii prevăzute în actul normativ prin care este/sunt sancționată/sancționate contravenția/contravențiile de la punctul/punctele.........., respectiv suma de.......... lei, iar o copie de pe documentul de plată se va depune sau se va transmite prin poștă, recomandat, la sediul agentului constatator din...........</w:t>
      </w:r>
    </w:p>
    <w:p>
      <w:pPr>
        <w:pStyle w:val="Normal"/>
        <w:spacing w:before="0" w:after="136"/>
        <w:rPr>
          <w:rFonts w:ascii="Times New Roman" w:hAnsi="Times New Roman" w:eastAsia="Times New Roman" w:cs="Arial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situația în care contravenientul nu va achita amenda (amenzile) în termen de 15 zile de la data comunicării procesuluiverbal, se va proceda, în condițiile legii, la executarea silită.</w:t>
      </w:r>
    </w:p>
    <w:p>
      <w:pPr>
        <w:pStyle w:val="Normal"/>
        <w:spacing w:before="0" w:after="136"/>
        <w:rPr>
          <w:rFonts w:ascii="Times New Roman" w:hAnsi="Times New Roman" w:eastAsia="Times New Roman" w:cs="Arial"/>
          <w:bCs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bookmarkStart w:id="0" w:name="_GoBack"/>
      <w:bookmarkEnd w:id="0"/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B.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Sancțiuni complementare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conformitate cu art. . . . . . . . . . . alin. . . . . . . . . . . lit. . . . . . . . . . . pct. . . . . . . . . . . din . . . . . . . . . . se confiscă de la contravenient următoarele bunuri/sume destinate, folosite sau rezultate din săvârșirea faptei prezentate la punctul [ ]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C.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Alte sancțiuni complementare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conformitate cu art. . . . . . . . . . . alin. . . . . . . . . . . lit. . . . . . . . . . . pct. . . . . . . . . . . din . . . . . . . . . . se dispun următoarele: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Pentru fapta de la punctul [ ]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Precizări cu privire la măsuri de conservare sau valorificare: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Bunurile/sumele confiscate aparțin****):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****)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Dacă bunurile nu aparțin contravenientului, se vor menționa, dacă este posibil, datele de identificare ale proprietarului sau se vor preciza motivele pentru care identificarea nu a fost posibilă.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D.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Alte mențiuni: Contravenientul a luat cunoștință că are dreptul la obiecțiuni și nu a formulat/a formulat obiecțiuni:*****)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*****)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Se solicită contravenientului să scrie obiecțiunile sau să scrie că nu are obiecțiuni. În caz de refuz al contravenientului, inspectorii vor menționa în scris refuzul contravenientului de a se conforma acestei cerințe.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. . . . . . . . . .</w:t>
      </w:r>
    </w:p>
    <w:p>
      <w:pPr>
        <w:pStyle w:val="Normal"/>
        <w:spacing w:before="0" w:after="136"/>
        <w:rPr/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 conformitate cu prevederile Ordonanței Guvernului </w:t>
      </w:r>
      <w:hyperlink r:id="rId7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2/2001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aprobată cu modificări și completări prin Legea </w:t>
      </w:r>
      <w:hyperlink r:id="rId8" w:tgtFrame="_blank">
        <w:r>
          <w:rPr>
            <w:rStyle w:val="ListLabel1"/>
            <w:rFonts w:eastAsia="Times New Roman" w:cs="Arial" w:ascii="Times New Roman" w:hAnsi="Times New Roman"/>
            <w:sz w:val="28"/>
            <w:szCs w:val="28"/>
            <w:lang w:val="zxx" w:eastAsia="zxx" w:bidi="zxx"/>
          </w:rPr>
          <w:t>nr. 180/2002</w:t>
        </w:r>
      </w:hyperlink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, cu modificările și completările ulterioare, împotriva prezentului proces-verbal care ține loc și de înștiințare de plată se poate face plângere în termen de 15 zile de la data înmânării sau comunicării la judecătoria în a cărei circumscripție a fost săvârșită contravenția.</w:t>
      </w:r>
    </w:p>
    <w:p>
      <w:pPr>
        <w:pStyle w:val="Normal"/>
        <w:spacing w:before="0" w:after="136"/>
        <w:rPr>
          <w:rFonts w:ascii="Arial" w:hAnsi="Arial" w:eastAsia="Times New Roman" w:cs="Arial"/>
          <w:sz w:val="24"/>
          <w:szCs w:val="24"/>
        </w:rPr>
      </w:pP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Întocmit în 3 exemplare, din care un exemplar s-a înmânat astăzi, . . . . . . . . . ./sau se va comunica contravenientului în cel mult două luni de la data încheierii.</w:t>
      </w:r>
    </w:p>
    <w:tbl>
      <w:tblPr>
        <w:tblW w:w="6960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"/>
        <w:gridCol w:w="1263"/>
        <w:gridCol w:w="1268"/>
        <w:gridCol w:w="4419"/>
      </w:tblGrid>
      <w:tr>
        <w:trPr>
          <w:trHeight w:val="15" w:hRule="exact"/>
        </w:trPr>
        <w:tc>
          <w:tcPr>
            <w:tcW w:w="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263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268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441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</w:tr>
      <w:tr>
        <w:trPr>
          <w:trHeight w:val="1410" w:hRule="atLeast"/>
        </w:trPr>
        <w:tc>
          <w:tcPr>
            <w:tcW w:w="9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Arial"/>
                <w:sz w:val="28"/>
                <w:szCs w:val="28"/>
                <w:lang w:val="zxx" w:eastAsia="zxx" w:bidi="zxx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</w:r>
          </w:p>
        </w:tc>
        <w:tc>
          <w:tcPr>
            <w:tcW w:w="126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Inspectori,</w:t>
              <w:br/>
              <w:t>. . . . . . . . . .</w:t>
              <w:br/>
              <w:t>. . . . . . . . . .</w:t>
              <w:br/>
              <w:t>. . . . . . . . . .</w:t>
            </w:r>
          </w:p>
        </w:tc>
        <w:tc>
          <w:tcPr>
            <w:tcW w:w="1268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Martori***),</w:t>
              <w:br/>
              <w:t>. . . . . . . . . .</w:t>
              <w:br/>
              <w:t>. . . . . . . . . .</w:t>
              <w:br/>
              <w:t>. . . . . . . . . .</w:t>
            </w:r>
          </w:p>
        </w:tc>
        <w:tc>
          <w:tcPr>
            <w:tcW w:w="4419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Arial" w:hAnsi="Arial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8"/>
                <w:szCs w:val="28"/>
                <w:lang w:val="zxx" w:eastAsia="zxx" w:bidi="zxx"/>
              </w:rPr>
              <w:t>Contravenient,</w:t>
              <w:br/>
              <w:t>(Am primit un exemplar al procesuluiverbal</w:t>
              <w:br/>
              <w:t>de constatare și sancționare a</w:t>
              <w:br/>
              <w:t>contravențiilor.)</w:t>
              <w:br/>
              <w:t>. . . . . . . . . .</w:t>
              <w:br/>
              <w:t>. . . . . . . . . .</w:t>
            </w:r>
          </w:p>
        </w:tc>
      </w:tr>
    </w:tbl>
    <w:p>
      <w:pPr>
        <w:pStyle w:val="Normal"/>
        <w:spacing w:before="0" w:after="136"/>
        <w:rPr>
          <w:rFonts w:ascii="Times New Roman" w:hAnsi="Times New Roman"/>
          <w:sz w:val="28"/>
          <w:szCs w:val="28"/>
          <w:lang w:val="zxx" w:eastAsia="zxx" w:bidi="zxx"/>
        </w:rPr>
      </w:pPr>
      <w:r>
        <w:rPr>
          <w:rFonts w:eastAsia="Times New Roman" w:cs="Arial" w:ascii="Times New Roman" w:hAnsi="Times New Roman"/>
          <w:bCs/>
          <w:sz w:val="28"/>
          <w:szCs w:val="28"/>
          <w:lang w:val="zxx" w:eastAsia="zxx" w:bidi="zxx"/>
        </w:rPr>
        <w:t>***)</w:t>
      </w:r>
      <w:r>
        <w:rPr>
          <w:rFonts w:eastAsia="Times New Roman" w:cs="Arial" w:ascii="Times New Roman" w:hAnsi="Times New Roman"/>
          <w:sz w:val="28"/>
          <w:szCs w:val="28"/>
          <w:lang w:val="zxx" w:eastAsia="zxx" w:bidi="zxx"/>
        </w:rPr>
        <w:t> Se vor înscrie datele personale din actul de identitate al martorului și semnătura acestuia.</w:t>
      </w:r>
    </w:p>
    <w:sectPr>
      <w:type w:val="nextPage"/>
      <w:pgSz w:w="12240" w:h="15840"/>
      <w:pgMar w:left="1440" w:right="1440" w:header="0" w:top="63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den" w:customStyle="1">
    <w:name w:val="s_den"/>
    <w:basedOn w:val="DefaultParagraphFont"/>
    <w:qFormat/>
    <w:rsid w:val="00c71c0e"/>
    <w:rPr/>
  </w:style>
  <w:style w:type="character" w:styleId="Shdr" w:customStyle="1">
    <w:name w:val="s_hdr"/>
    <w:basedOn w:val="DefaultParagraphFont"/>
    <w:qFormat/>
    <w:rsid w:val="00c71c0e"/>
    <w:rPr/>
  </w:style>
  <w:style w:type="character" w:styleId="InternetLink">
    <w:name w:val="Internet Link"/>
    <w:basedOn w:val="DefaultParagraphFont"/>
    <w:uiPriority w:val="99"/>
    <w:unhideWhenUsed/>
    <w:rsid w:val="00c71c0e"/>
    <w:rPr>
      <w:color w:val="0000FF"/>
      <w:u w:val="single"/>
    </w:rPr>
  </w:style>
  <w:style w:type="character" w:styleId="Semtttl" w:customStyle="1">
    <w:name w:val="s_emt_ttl"/>
    <w:basedOn w:val="DefaultParagraphFont"/>
    <w:qFormat/>
    <w:rsid w:val="00c71c0e"/>
    <w:rPr/>
  </w:style>
  <w:style w:type="character" w:styleId="Semtbdy" w:customStyle="1">
    <w:name w:val="s_emt_bdy"/>
    <w:basedOn w:val="DefaultParagraphFont"/>
    <w:qFormat/>
    <w:rsid w:val="00c71c0e"/>
    <w:rPr/>
  </w:style>
  <w:style w:type="character" w:styleId="Spubttl" w:customStyle="1">
    <w:name w:val="s_pub_ttl"/>
    <w:basedOn w:val="DefaultParagraphFont"/>
    <w:qFormat/>
    <w:rsid w:val="00c71c0e"/>
    <w:rPr/>
  </w:style>
  <w:style w:type="character" w:styleId="Spubbdy" w:customStyle="1">
    <w:name w:val="s_pub_bdy"/>
    <w:basedOn w:val="DefaultParagraphFont"/>
    <w:qFormat/>
    <w:rsid w:val="00c71c0e"/>
    <w:rPr/>
  </w:style>
  <w:style w:type="character" w:styleId="Spar" w:customStyle="1">
    <w:name w:val="s_par"/>
    <w:basedOn w:val="DefaultParagraphFont"/>
    <w:qFormat/>
    <w:rsid w:val="00c71c0e"/>
    <w:rPr/>
  </w:style>
  <w:style w:type="character" w:styleId="Slinttl" w:customStyle="1">
    <w:name w:val="s_lin_ttl"/>
    <w:basedOn w:val="DefaultParagraphFont"/>
    <w:qFormat/>
    <w:rsid w:val="00c71c0e"/>
    <w:rPr/>
  </w:style>
  <w:style w:type="character" w:styleId="Slinbdy" w:customStyle="1">
    <w:name w:val="s_lin_bdy"/>
    <w:basedOn w:val="DefaultParagraphFont"/>
    <w:qFormat/>
    <w:rsid w:val="00c71c0e"/>
    <w:rPr/>
  </w:style>
  <w:style w:type="character" w:styleId="Sartttl" w:customStyle="1">
    <w:name w:val="s_art_ttl"/>
    <w:basedOn w:val="DefaultParagraphFont"/>
    <w:qFormat/>
    <w:rsid w:val="00c71c0e"/>
    <w:rPr/>
  </w:style>
  <w:style w:type="character" w:styleId="Spct" w:customStyle="1">
    <w:name w:val="s_pct"/>
    <w:basedOn w:val="DefaultParagraphFont"/>
    <w:qFormat/>
    <w:rsid w:val="00c71c0e"/>
    <w:rPr/>
  </w:style>
  <w:style w:type="character" w:styleId="Spctttl" w:customStyle="1">
    <w:name w:val="s_pct_ttl"/>
    <w:basedOn w:val="DefaultParagraphFont"/>
    <w:qFormat/>
    <w:rsid w:val="00c71c0e"/>
    <w:rPr/>
  </w:style>
  <w:style w:type="character" w:styleId="Spctbdy" w:customStyle="1">
    <w:name w:val="s_pct_bdy"/>
    <w:basedOn w:val="DefaultParagraphFont"/>
    <w:qFormat/>
    <w:rsid w:val="00c71c0e"/>
    <w:rPr/>
  </w:style>
  <w:style w:type="character" w:styleId="ListLabel1">
    <w:name w:val="ListLabel 1"/>
    <w:qFormat/>
    <w:rPr>
      <w:rFonts w:ascii="Arial" w:hAnsi="Arial" w:eastAsia="Times New Roman" w:cs="Arial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ge5.ro/App/Document/gm3tcnzvgy/ordonanta-de-urgenta-nr-74-2013-privind-unele-masuri-pentru-imbunatatirea-si-reorganizarea-activitatii-agentiei-nationale-de-administrare-fiscala-precum-si-pentru-modificarea-si-completarea-unor-acte-?d=2021-06-22" TargetMode="External"/><Relationship Id="rId3" Type="http://schemas.openxmlformats.org/officeDocument/2006/relationships/hyperlink" Target="https://lege5.ro/App/Document/g4ztkmrygi/legea-nr-207-2015-privind-codul-de-procedura-fiscala?d=2021-06-22" TargetMode="External"/><Relationship Id="rId4" Type="http://schemas.openxmlformats.org/officeDocument/2006/relationships/hyperlink" Target="https://lege5.ro/App/Document/gm3teojygq/hotararea-nr-520-2013-privind-organizarea-si-functionarea-agentiei-nationale-de-administrare-fiscala?d=2021-06-22" TargetMode="External"/><Relationship Id="rId5" Type="http://schemas.openxmlformats.org/officeDocument/2006/relationships/hyperlink" Target="https://lege5.ro/App/Document/gm2dmmbu/ordonanta-nr-2-2001-privind-regimul-juridic-al-contraventiilor?d=2021-06-22" TargetMode="External"/><Relationship Id="rId6" Type="http://schemas.openxmlformats.org/officeDocument/2006/relationships/hyperlink" Target="https://lege5.ro/App/Document/gm4tcnry/legea-nr-180-2002-pentru-aprobarea-ordonantei-guvernului-nr-2-2001-privind-regimul-juridic-al-contraventiilor?d=2021-06-22" TargetMode="External"/><Relationship Id="rId7" Type="http://schemas.openxmlformats.org/officeDocument/2006/relationships/hyperlink" Target="https://lege5.ro/App/Document/gm2dmmbu/ordonanta-nr-2-2001-privind-regimul-juridic-al-contraventiilor?d=2021-06-22" TargetMode="External"/><Relationship Id="rId8" Type="http://schemas.openxmlformats.org/officeDocument/2006/relationships/hyperlink" Target="https://lege5.ro/App/Document/gm4tcnry/legea-nr-180-2002-pentru-aprobarea-ordonantei-guvernului-nr-2-2001-privind-regimul-juridic-al-contraventiilor?d=2021-06-22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LibreOffice/6.2.4.2$Windows_X86_64 LibreOffice_project/2412653d852ce75f65fbfa83fb7e7b669a126d64</Application>
  <Pages>5</Pages>
  <Words>1824</Words>
  <Characters>5674</Characters>
  <CharactersWithSpaces>7439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2021-06-22T07:16:00Z</dcterms:created>
  <dc:creator>Ionut</dc:creator>
  <dc:description/>
  <dc:language>en-US</dc:language>
  <cp:lastModifiedBy/>
  <dcterms:modified xsi:type="dcterms:W3CDTF">2021-06-22T10:29:59Z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